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97" w:rsidRDefault="00023197" w:rsidP="008E437B">
      <w:pPr>
        <w:jc w:val="center"/>
      </w:pPr>
    </w:p>
    <w:p w:rsidR="008D0CEB" w:rsidRDefault="000D7D8C" w:rsidP="008E437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-333375</wp:posOffset>
            </wp:positionV>
            <wp:extent cx="790575" cy="790575"/>
            <wp:effectExtent l="0" t="0" r="9525" b="952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7B">
        <w:t>Key Stage 2 National Curriculum Results 2019</w:t>
      </w:r>
    </w:p>
    <w:p w:rsidR="008E437B" w:rsidRDefault="008E437B"/>
    <w:p w:rsidR="00023197" w:rsidRDefault="00023197"/>
    <w:p w:rsidR="00023197" w:rsidRDefault="00023197"/>
    <w:tbl>
      <w:tblPr>
        <w:tblStyle w:val="TableGrid"/>
        <w:tblW w:w="11048" w:type="dxa"/>
        <w:tblLook w:val="04A0" w:firstRow="1" w:lastRow="0" w:firstColumn="1" w:lastColumn="0" w:noHBand="0" w:noVBand="1"/>
      </w:tblPr>
      <w:tblGrid>
        <w:gridCol w:w="1221"/>
        <w:gridCol w:w="1232"/>
        <w:gridCol w:w="1201"/>
        <w:gridCol w:w="1434"/>
        <w:gridCol w:w="1192"/>
        <w:gridCol w:w="1193"/>
        <w:gridCol w:w="1192"/>
        <w:gridCol w:w="1193"/>
        <w:gridCol w:w="1190"/>
      </w:tblGrid>
      <w:tr w:rsidR="008E437B" w:rsidTr="000D7D8C">
        <w:trPr>
          <w:trHeight w:val="1008"/>
        </w:trPr>
        <w:tc>
          <w:tcPr>
            <w:tcW w:w="1221" w:type="dxa"/>
          </w:tcPr>
          <w:p w:rsidR="008E437B" w:rsidRDefault="008E437B" w:rsidP="008E437B">
            <w:pPr>
              <w:jc w:val="center"/>
            </w:pPr>
          </w:p>
        </w:tc>
        <w:tc>
          <w:tcPr>
            <w:tcW w:w="2433" w:type="dxa"/>
            <w:gridSpan w:val="2"/>
          </w:tcPr>
          <w:p w:rsidR="008E437B" w:rsidRDefault="008E437B" w:rsidP="008E437B">
            <w:pPr>
              <w:jc w:val="center"/>
            </w:pPr>
            <w:r>
              <w:t>% of pupils achieving the expected standard</w:t>
            </w:r>
          </w:p>
        </w:tc>
        <w:tc>
          <w:tcPr>
            <w:tcW w:w="2626" w:type="dxa"/>
            <w:gridSpan w:val="2"/>
          </w:tcPr>
          <w:p w:rsidR="008E437B" w:rsidRDefault="008E437B" w:rsidP="008E437B">
            <w:pPr>
              <w:jc w:val="center"/>
            </w:pPr>
            <w:r>
              <w:t>% of pupils achieving a higher level of attainment</w:t>
            </w:r>
          </w:p>
        </w:tc>
        <w:tc>
          <w:tcPr>
            <w:tcW w:w="2385" w:type="dxa"/>
            <w:gridSpan w:val="2"/>
          </w:tcPr>
          <w:p w:rsidR="008E437B" w:rsidRDefault="008E437B" w:rsidP="008E437B">
            <w:pPr>
              <w:jc w:val="center"/>
            </w:pPr>
            <w:r>
              <w:t>Average scaled score</w:t>
            </w:r>
          </w:p>
        </w:tc>
        <w:tc>
          <w:tcPr>
            <w:tcW w:w="2383" w:type="dxa"/>
            <w:gridSpan w:val="2"/>
          </w:tcPr>
          <w:p w:rsidR="008E437B" w:rsidRDefault="008E437B" w:rsidP="008E437B">
            <w:pPr>
              <w:jc w:val="center"/>
            </w:pPr>
            <w:r>
              <w:t>Average progress</w:t>
            </w:r>
          </w:p>
        </w:tc>
      </w:tr>
      <w:tr w:rsidR="000D7D8C" w:rsidTr="000D7D8C">
        <w:trPr>
          <w:trHeight w:val="684"/>
        </w:trPr>
        <w:tc>
          <w:tcPr>
            <w:tcW w:w="1221" w:type="dxa"/>
          </w:tcPr>
          <w:p w:rsidR="008E437B" w:rsidRDefault="008E437B" w:rsidP="008E437B">
            <w:pPr>
              <w:jc w:val="center"/>
            </w:pPr>
            <w:r>
              <w:t>Subject</w:t>
            </w:r>
          </w:p>
        </w:tc>
        <w:tc>
          <w:tcPr>
            <w:tcW w:w="1232" w:type="dxa"/>
            <w:shd w:val="clear" w:color="auto" w:fill="2E74B5" w:themeFill="accent1" w:themeFillShade="BF"/>
          </w:tcPr>
          <w:p w:rsidR="008E437B" w:rsidRDefault="008E437B" w:rsidP="008E437B">
            <w:pPr>
              <w:jc w:val="center"/>
            </w:pPr>
            <w:r>
              <w:t>Stephen Freeman</w:t>
            </w:r>
          </w:p>
        </w:tc>
        <w:tc>
          <w:tcPr>
            <w:tcW w:w="1201" w:type="dxa"/>
          </w:tcPr>
          <w:p w:rsidR="008E437B" w:rsidRDefault="008E437B" w:rsidP="008E437B">
            <w:pPr>
              <w:jc w:val="center"/>
            </w:pPr>
            <w:r>
              <w:t>National</w:t>
            </w:r>
          </w:p>
        </w:tc>
        <w:tc>
          <w:tcPr>
            <w:tcW w:w="1434" w:type="dxa"/>
            <w:shd w:val="clear" w:color="auto" w:fill="2E74B5" w:themeFill="accent1" w:themeFillShade="BF"/>
          </w:tcPr>
          <w:p w:rsidR="008E437B" w:rsidRDefault="008E437B" w:rsidP="008E437B">
            <w:pPr>
              <w:jc w:val="center"/>
            </w:pPr>
            <w:r>
              <w:t>Stephen Freeman</w:t>
            </w:r>
          </w:p>
        </w:tc>
        <w:tc>
          <w:tcPr>
            <w:tcW w:w="1192" w:type="dxa"/>
          </w:tcPr>
          <w:p w:rsidR="008E437B" w:rsidRDefault="008E437B" w:rsidP="008E437B">
            <w:pPr>
              <w:jc w:val="center"/>
            </w:pPr>
            <w:r>
              <w:t>National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8E437B" w:rsidRDefault="008E437B" w:rsidP="008E437B">
            <w:pPr>
              <w:jc w:val="center"/>
            </w:pPr>
            <w:r>
              <w:t>Stephen Freeman</w:t>
            </w:r>
          </w:p>
        </w:tc>
        <w:tc>
          <w:tcPr>
            <w:tcW w:w="1192" w:type="dxa"/>
          </w:tcPr>
          <w:p w:rsidR="008E437B" w:rsidRDefault="008E437B" w:rsidP="008E437B">
            <w:pPr>
              <w:jc w:val="center"/>
            </w:pPr>
            <w:r>
              <w:t>National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8E437B" w:rsidRDefault="008E437B" w:rsidP="008E437B">
            <w:pPr>
              <w:jc w:val="center"/>
            </w:pPr>
            <w:r>
              <w:t>Stephen Freeman</w:t>
            </w:r>
          </w:p>
        </w:tc>
        <w:tc>
          <w:tcPr>
            <w:tcW w:w="1190" w:type="dxa"/>
          </w:tcPr>
          <w:p w:rsidR="008E437B" w:rsidRDefault="008E437B" w:rsidP="008E437B">
            <w:pPr>
              <w:jc w:val="center"/>
            </w:pPr>
            <w:r>
              <w:t>National</w:t>
            </w:r>
          </w:p>
        </w:tc>
        <w:bookmarkStart w:id="0" w:name="_GoBack"/>
        <w:bookmarkEnd w:id="0"/>
      </w:tr>
      <w:tr w:rsidR="000D7D8C" w:rsidTr="000D7D8C">
        <w:trPr>
          <w:trHeight w:val="322"/>
        </w:trPr>
        <w:tc>
          <w:tcPr>
            <w:tcW w:w="1221" w:type="dxa"/>
          </w:tcPr>
          <w:p w:rsidR="008E437B" w:rsidRPr="000D7D8C" w:rsidRDefault="008E437B" w:rsidP="008E437B">
            <w:pPr>
              <w:jc w:val="center"/>
              <w:rPr>
                <w:sz w:val="20"/>
                <w:szCs w:val="20"/>
              </w:rPr>
            </w:pPr>
            <w:r w:rsidRPr="000D7D8C">
              <w:rPr>
                <w:sz w:val="20"/>
                <w:szCs w:val="20"/>
              </w:rPr>
              <w:t>Reading</w:t>
            </w:r>
          </w:p>
        </w:tc>
        <w:tc>
          <w:tcPr>
            <w:tcW w:w="1232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61%</w:t>
            </w:r>
          </w:p>
        </w:tc>
        <w:tc>
          <w:tcPr>
            <w:tcW w:w="1201" w:type="dxa"/>
          </w:tcPr>
          <w:p w:rsidR="008E437B" w:rsidRDefault="008E437B" w:rsidP="008E437B">
            <w:pPr>
              <w:jc w:val="center"/>
            </w:pPr>
            <w:r>
              <w:t>73%</w:t>
            </w:r>
          </w:p>
        </w:tc>
        <w:tc>
          <w:tcPr>
            <w:tcW w:w="1434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16%</w:t>
            </w:r>
          </w:p>
        </w:tc>
        <w:tc>
          <w:tcPr>
            <w:tcW w:w="1192" w:type="dxa"/>
          </w:tcPr>
          <w:p w:rsidR="008E437B" w:rsidRDefault="008E437B" w:rsidP="008E437B">
            <w:pPr>
              <w:jc w:val="center"/>
            </w:pPr>
            <w:r>
              <w:t>27%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102</w:t>
            </w:r>
          </w:p>
        </w:tc>
        <w:tc>
          <w:tcPr>
            <w:tcW w:w="1192" w:type="dxa"/>
          </w:tcPr>
          <w:p w:rsidR="008E437B" w:rsidRDefault="008E437B" w:rsidP="008E437B">
            <w:pPr>
              <w:jc w:val="center"/>
            </w:pPr>
            <w:r>
              <w:t>104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-2.5</w:t>
            </w:r>
          </w:p>
        </w:tc>
        <w:tc>
          <w:tcPr>
            <w:tcW w:w="1190" w:type="dxa"/>
          </w:tcPr>
          <w:p w:rsidR="008E437B" w:rsidRDefault="000D7D8C" w:rsidP="008E437B">
            <w:pPr>
              <w:jc w:val="center"/>
            </w:pPr>
            <w:r>
              <w:t>0</w:t>
            </w:r>
          </w:p>
        </w:tc>
      </w:tr>
      <w:tr w:rsidR="008E437B" w:rsidTr="000D7D8C">
        <w:trPr>
          <w:trHeight w:val="341"/>
        </w:trPr>
        <w:tc>
          <w:tcPr>
            <w:tcW w:w="1221" w:type="dxa"/>
          </w:tcPr>
          <w:p w:rsidR="008E437B" w:rsidRPr="000D7D8C" w:rsidRDefault="008E437B" w:rsidP="008E437B">
            <w:pPr>
              <w:jc w:val="center"/>
              <w:rPr>
                <w:sz w:val="20"/>
                <w:szCs w:val="20"/>
              </w:rPr>
            </w:pPr>
            <w:r w:rsidRPr="000D7D8C">
              <w:rPr>
                <w:sz w:val="20"/>
                <w:szCs w:val="20"/>
              </w:rPr>
              <w:t>Writing</w:t>
            </w:r>
          </w:p>
        </w:tc>
        <w:tc>
          <w:tcPr>
            <w:tcW w:w="1232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63%</w:t>
            </w:r>
          </w:p>
        </w:tc>
        <w:tc>
          <w:tcPr>
            <w:tcW w:w="1201" w:type="dxa"/>
          </w:tcPr>
          <w:p w:rsidR="008E437B" w:rsidRDefault="008E437B" w:rsidP="008E437B">
            <w:pPr>
              <w:jc w:val="center"/>
            </w:pPr>
            <w:r>
              <w:t>78%</w:t>
            </w:r>
          </w:p>
        </w:tc>
        <w:tc>
          <w:tcPr>
            <w:tcW w:w="1434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12%</w:t>
            </w:r>
          </w:p>
        </w:tc>
        <w:tc>
          <w:tcPr>
            <w:tcW w:w="1192" w:type="dxa"/>
          </w:tcPr>
          <w:p w:rsidR="008E437B" w:rsidRDefault="008E437B" w:rsidP="008E437B">
            <w:pPr>
              <w:jc w:val="center"/>
            </w:pPr>
            <w:r>
              <w:t>20%</w:t>
            </w:r>
          </w:p>
        </w:tc>
        <w:tc>
          <w:tcPr>
            <w:tcW w:w="2385" w:type="dxa"/>
            <w:gridSpan w:val="2"/>
          </w:tcPr>
          <w:p w:rsidR="008E437B" w:rsidRDefault="008E437B" w:rsidP="008E437B">
            <w:pPr>
              <w:jc w:val="center"/>
            </w:pPr>
            <w:r>
              <w:t>N/A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-1</w:t>
            </w:r>
          </w:p>
        </w:tc>
        <w:tc>
          <w:tcPr>
            <w:tcW w:w="1190" w:type="dxa"/>
          </w:tcPr>
          <w:p w:rsidR="008E437B" w:rsidRDefault="000D7D8C" w:rsidP="008E437B">
            <w:pPr>
              <w:jc w:val="center"/>
            </w:pPr>
            <w:r>
              <w:t>0</w:t>
            </w:r>
          </w:p>
        </w:tc>
      </w:tr>
      <w:tr w:rsidR="000D7D8C" w:rsidTr="000D7D8C">
        <w:trPr>
          <w:trHeight w:val="341"/>
        </w:trPr>
        <w:tc>
          <w:tcPr>
            <w:tcW w:w="1221" w:type="dxa"/>
          </w:tcPr>
          <w:p w:rsidR="008E437B" w:rsidRPr="000D7D8C" w:rsidRDefault="008E437B" w:rsidP="008E437B">
            <w:pPr>
              <w:jc w:val="center"/>
              <w:rPr>
                <w:sz w:val="20"/>
                <w:szCs w:val="20"/>
              </w:rPr>
            </w:pPr>
            <w:r w:rsidRPr="000D7D8C">
              <w:rPr>
                <w:sz w:val="20"/>
                <w:szCs w:val="20"/>
              </w:rPr>
              <w:t>Maths</w:t>
            </w:r>
          </w:p>
        </w:tc>
        <w:tc>
          <w:tcPr>
            <w:tcW w:w="1232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63%</w:t>
            </w:r>
          </w:p>
        </w:tc>
        <w:tc>
          <w:tcPr>
            <w:tcW w:w="1201" w:type="dxa"/>
          </w:tcPr>
          <w:p w:rsidR="008E437B" w:rsidRDefault="008E437B" w:rsidP="008E437B">
            <w:pPr>
              <w:jc w:val="center"/>
            </w:pPr>
            <w:r>
              <w:t>79%</w:t>
            </w:r>
          </w:p>
        </w:tc>
        <w:tc>
          <w:tcPr>
            <w:tcW w:w="1434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14%</w:t>
            </w:r>
          </w:p>
        </w:tc>
        <w:tc>
          <w:tcPr>
            <w:tcW w:w="1192" w:type="dxa"/>
          </w:tcPr>
          <w:p w:rsidR="008E437B" w:rsidRDefault="008E437B" w:rsidP="008E437B">
            <w:pPr>
              <w:jc w:val="center"/>
            </w:pPr>
            <w:r>
              <w:t>27%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100</w:t>
            </w:r>
          </w:p>
        </w:tc>
        <w:tc>
          <w:tcPr>
            <w:tcW w:w="1192" w:type="dxa"/>
          </w:tcPr>
          <w:p w:rsidR="008E437B" w:rsidRDefault="008E437B" w:rsidP="008E437B">
            <w:pPr>
              <w:jc w:val="center"/>
            </w:pPr>
            <w:r>
              <w:t>105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8E437B" w:rsidRDefault="000D7D8C" w:rsidP="008E437B">
            <w:pPr>
              <w:jc w:val="center"/>
            </w:pPr>
            <w:r>
              <w:t>-2.9</w:t>
            </w:r>
          </w:p>
        </w:tc>
        <w:tc>
          <w:tcPr>
            <w:tcW w:w="1190" w:type="dxa"/>
          </w:tcPr>
          <w:p w:rsidR="008E437B" w:rsidRDefault="000D7D8C" w:rsidP="008E437B">
            <w:pPr>
              <w:jc w:val="center"/>
            </w:pPr>
            <w:r>
              <w:t>0</w:t>
            </w:r>
          </w:p>
        </w:tc>
      </w:tr>
      <w:tr w:rsidR="000D7D8C" w:rsidTr="000D7D8C">
        <w:trPr>
          <w:trHeight w:val="322"/>
        </w:trPr>
        <w:tc>
          <w:tcPr>
            <w:tcW w:w="1221" w:type="dxa"/>
          </w:tcPr>
          <w:p w:rsidR="000D7D8C" w:rsidRPr="000D7D8C" w:rsidRDefault="000D7D8C" w:rsidP="008E437B">
            <w:pPr>
              <w:jc w:val="center"/>
              <w:rPr>
                <w:sz w:val="20"/>
                <w:szCs w:val="20"/>
              </w:rPr>
            </w:pPr>
            <w:r w:rsidRPr="000D7D8C">
              <w:rPr>
                <w:sz w:val="20"/>
                <w:szCs w:val="20"/>
              </w:rPr>
              <w:t>GPS</w:t>
            </w:r>
          </w:p>
        </w:tc>
        <w:tc>
          <w:tcPr>
            <w:tcW w:w="1232" w:type="dxa"/>
            <w:shd w:val="clear" w:color="auto" w:fill="2E74B5" w:themeFill="accent1" w:themeFillShade="BF"/>
          </w:tcPr>
          <w:p w:rsidR="000D7D8C" w:rsidRDefault="000D7D8C" w:rsidP="008E437B">
            <w:pPr>
              <w:jc w:val="center"/>
            </w:pPr>
            <w:r>
              <w:t>59%</w:t>
            </w:r>
          </w:p>
        </w:tc>
        <w:tc>
          <w:tcPr>
            <w:tcW w:w="1201" w:type="dxa"/>
          </w:tcPr>
          <w:p w:rsidR="000D7D8C" w:rsidRDefault="000D7D8C" w:rsidP="008E437B">
            <w:pPr>
              <w:jc w:val="center"/>
            </w:pPr>
            <w:r>
              <w:t>78%</w:t>
            </w:r>
          </w:p>
        </w:tc>
        <w:tc>
          <w:tcPr>
            <w:tcW w:w="1434" w:type="dxa"/>
            <w:shd w:val="clear" w:color="auto" w:fill="2E74B5" w:themeFill="accent1" w:themeFillShade="BF"/>
          </w:tcPr>
          <w:p w:rsidR="000D7D8C" w:rsidRDefault="000D7D8C" w:rsidP="008E437B">
            <w:pPr>
              <w:jc w:val="center"/>
            </w:pPr>
            <w:r>
              <w:t>20%</w:t>
            </w:r>
          </w:p>
        </w:tc>
        <w:tc>
          <w:tcPr>
            <w:tcW w:w="1192" w:type="dxa"/>
          </w:tcPr>
          <w:p w:rsidR="000D7D8C" w:rsidRDefault="000D7D8C" w:rsidP="008E437B">
            <w:pPr>
              <w:jc w:val="center"/>
            </w:pPr>
            <w:r>
              <w:t>36%</w:t>
            </w:r>
          </w:p>
        </w:tc>
        <w:tc>
          <w:tcPr>
            <w:tcW w:w="1193" w:type="dxa"/>
            <w:shd w:val="clear" w:color="auto" w:fill="2E74B5" w:themeFill="accent1" w:themeFillShade="BF"/>
          </w:tcPr>
          <w:p w:rsidR="000D7D8C" w:rsidRDefault="000D7D8C" w:rsidP="008E437B">
            <w:pPr>
              <w:jc w:val="center"/>
            </w:pPr>
            <w:r>
              <w:t>101</w:t>
            </w:r>
          </w:p>
        </w:tc>
        <w:tc>
          <w:tcPr>
            <w:tcW w:w="1192" w:type="dxa"/>
          </w:tcPr>
          <w:p w:rsidR="000D7D8C" w:rsidRDefault="000D7D8C" w:rsidP="008E437B">
            <w:pPr>
              <w:jc w:val="center"/>
            </w:pPr>
            <w:r>
              <w:t>106</w:t>
            </w:r>
          </w:p>
        </w:tc>
        <w:tc>
          <w:tcPr>
            <w:tcW w:w="2383" w:type="dxa"/>
            <w:gridSpan w:val="2"/>
          </w:tcPr>
          <w:p w:rsidR="000D7D8C" w:rsidRDefault="000D7D8C" w:rsidP="008E437B">
            <w:pPr>
              <w:jc w:val="center"/>
            </w:pPr>
            <w:r>
              <w:t>N/A</w:t>
            </w:r>
          </w:p>
        </w:tc>
      </w:tr>
      <w:tr w:rsidR="000D7D8C" w:rsidTr="000D7D8C">
        <w:trPr>
          <w:trHeight w:val="422"/>
        </w:trPr>
        <w:tc>
          <w:tcPr>
            <w:tcW w:w="1221" w:type="dxa"/>
          </w:tcPr>
          <w:p w:rsidR="000D7D8C" w:rsidRPr="000D7D8C" w:rsidRDefault="000D7D8C" w:rsidP="008E437B">
            <w:pPr>
              <w:jc w:val="center"/>
              <w:rPr>
                <w:sz w:val="20"/>
                <w:szCs w:val="20"/>
              </w:rPr>
            </w:pPr>
            <w:r w:rsidRPr="000D7D8C">
              <w:rPr>
                <w:sz w:val="20"/>
                <w:szCs w:val="20"/>
              </w:rPr>
              <w:t>All subjects</w:t>
            </w:r>
          </w:p>
        </w:tc>
        <w:tc>
          <w:tcPr>
            <w:tcW w:w="1232" w:type="dxa"/>
            <w:shd w:val="clear" w:color="auto" w:fill="2E74B5" w:themeFill="accent1" w:themeFillShade="BF"/>
          </w:tcPr>
          <w:p w:rsidR="000D7D8C" w:rsidRDefault="000D7D8C" w:rsidP="008E437B">
            <w:pPr>
              <w:jc w:val="center"/>
            </w:pPr>
            <w:r>
              <w:t>47%</w:t>
            </w:r>
          </w:p>
        </w:tc>
        <w:tc>
          <w:tcPr>
            <w:tcW w:w="1201" w:type="dxa"/>
          </w:tcPr>
          <w:p w:rsidR="000D7D8C" w:rsidRDefault="000D7D8C" w:rsidP="008E437B">
            <w:pPr>
              <w:jc w:val="center"/>
            </w:pPr>
            <w:r>
              <w:t>65%</w:t>
            </w:r>
          </w:p>
        </w:tc>
        <w:tc>
          <w:tcPr>
            <w:tcW w:w="1434" w:type="dxa"/>
            <w:shd w:val="clear" w:color="auto" w:fill="2E74B5" w:themeFill="accent1" w:themeFillShade="BF"/>
          </w:tcPr>
          <w:p w:rsidR="000D7D8C" w:rsidRDefault="000D7D8C" w:rsidP="008E437B">
            <w:pPr>
              <w:jc w:val="center"/>
            </w:pPr>
            <w:r>
              <w:t>4%</w:t>
            </w:r>
          </w:p>
        </w:tc>
        <w:tc>
          <w:tcPr>
            <w:tcW w:w="1192" w:type="dxa"/>
          </w:tcPr>
          <w:p w:rsidR="000D7D8C" w:rsidRDefault="000D7D8C" w:rsidP="008E437B">
            <w:pPr>
              <w:jc w:val="center"/>
            </w:pPr>
            <w:r>
              <w:t>10%</w:t>
            </w:r>
          </w:p>
        </w:tc>
        <w:tc>
          <w:tcPr>
            <w:tcW w:w="2385" w:type="dxa"/>
            <w:gridSpan w:val="2"/>
          </w:tcPr>
          <w:p w:rsidR="000D7D8C" w:rsidRDefault="000D7D8C" w:rsidP="008E437B">
            <w:pPr>
              <w:jc w:val="center"/>
            </w:pPr>
            <w:r>
              <w:t>N/A</w:t>
            </w:r>
          </w:p>
        </w:tc>
        <w:tc>
          <w:tcPr>
            <w:tcW w:w="2383" w:type="dxa"/>
            <w:gridSpan w:val="2"/>
          </w:tcPr>
          <w:p w:rsidR="000D7D8C" w:rsidRDefault="000D7D8C" w:rsidP="008E437B">
            <w:pPr>
              <w:jc w:val="center"/>
            </w:pPr>
            <w:r>
              <w:t>N/A</w:t>
            </w:r>
          </w:p>
        </w:tc>
      </w:tr>
    </w:tbl>
    <w:p w:rsidR="008E437B" w:rsidRDefault="008E437B"/>
    <w:p w:rsidR="000D7D8C" w:rsidRDefault="000D7D8C"/>
    <w:p w:rsidR="00023197" w:rsidRDefault="00023197"/>
    <w:p w:rsidR="00023197" w:rsidRDefault="00023197"/>
    <w:p w:rsidR="00023197" w:rsidRDefault="00023197"/>
    <w:p w:rsidR="00023197" w:rsidRDefault="00023197"/>
    <w:p w:rsidR="000D7D8C" w:rsidRDefault="000D7D8C" w:rsidP="000D7D8C">
      <w:pPr>
        <w:jc w:val="center"/>
      </w:pPr>
      <w:r>
        <w:t>Key Stage 1 National Curriculum Results 2019</w:t>
      </w:r>
    </w:p>
    <w:p w:rsidR="000D7D8C" w:rsidRDefault="000D7D8C" w:rsidP="000D7D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2541"/>
        <w:gridCol w:w="2158"/>
      </w:tblGrid>
      <w:tr w:rsidR="00023197" w:rsidTr="00023197">
        <w:tc>
          <w:tcPr>
            <w:tcW w:w="1980" w:type="dxa"/>
          </w:tcPr>
          <w:p w:rsidR="00023197" w:rsidRDefault="00023197" w:rsidP="000D7D8C">
            <w:pPr>
              <w:jc w:val="center"/>
            </w:pPr>
          </w:p>
        </w:tc>
        <w:tc>
          <w:tcPr>
            <w:tcW w:w="4111" w:type="dxa"/>
            <w:gridSpan w:val="2"/>
          </w:tcPr>
          <w:p w:rsidR="00023197" w:rsidRDefault="00023197" w:rsidP="000D7D8C">
            <w:pPr>
              <w:jc w:val="center"/>
            </w:pPr>
            <w:r>
              <w:t xml:space="preserve">% of pupils achieving expected standard </w:t>
            </w:r>
          </w:p>
        </w:tc>
        <w:tc>
          <w:tcPr>
            <w:tcW w:w="4699" w:type="dxa"/>
            <w:gridSpan w:val="2"/>
          </w:tcPr>
          <w:p w:rsidR="00023197" w:rsidRDefault="00023197" w:rsidP="000D7D8C">
            <w:pPr>
              <w:jc w:val="center"/>
            </w:pPr>
            <w:r>
              <w:t xml:space="preserve">% of pupils achieving a higher level of attainment </w:t>
            </w:r>
          </w:p>
        </w:tc>
      </w:tr>
      <w:tr w:rsidR="000D7D8C" w:rsidTr="00023197">
        <w:tc>
          <w:tcPr>
            <w:tcW w:w="1980" w:type="dxa"/>
          </w:tcPr>
          <w:p w:rsidR="000D7D8C" w:rsidRDefault="00023197" w:rsidP="000D7D8C">
            <w:pPr>
              <w:jc w:val="center"/>
            </w:pPr>
            <w:r>
              <w:t>Subject</w:t>
            </w:r>
          </w:p>
        </w:tc>
        <w:tc>
          <w:tcPr>
            <w:tcW w:w="2126" w:type="dxa"/>
          </w:tcPr>
          <w:p w:rsidR="000D7D8C" w:rsidRDefault="00023197" w:rsidP="000D7D8C">
            <w:pPr>
              <w:jc w:val="center"/>
            </w:pPr>
            <w:r>
              <w:t>Stephen Freeman</w:t>
            </w:r>
          </w:p>
        </w:tc>
        <w:tc>
          <w:tcPr>
            <w:tcW w:w="1985" w:type="dxa"/>
          </w:tcPr>
          <w:p w:rsidR="000D7D8C" w:rsidRDefault="00023197" w:rsidP="000D7D8C">
            <w:pPr>
              <w:jc w:val="center"/>
            </w:pPr>
            <w:r>
              <w:t>National</w:t>
            </w:r>
          </w:p>
        </w:tc>
        <w:tc>
          <w:tcPr>
            <w:tcW w:w="2541" w:type="dxa"/>
          </w:tcPr>
          <w:p w:rsidR="000D7D8C" w:rsidRDefault="00023197" w:rsidP="000D7D8C">
            <w:pPr>
              <w:jc w:val="center"/>
            </w:pPr>
            <w:r>
              <w:t>Stephen Freeman</w:t>
            </w:r>
          </w:p>
        </w:tc>
        <w:tc>
          <w:tcPr>
            <w:tcW w:w="2158" w:type="dxa"/>
          </w:tcPr>
          <w:p w:rsidR="000D7D8C" w:rsidRDefault="00023197" w:rsidP="000D7D8C">
            <w:pPr>
              <w:jc w:val="center"/>
            </w:pPr>
            <w:r>
              <w:t>National</w:t>
            </w:r>
          </w:p>
        </w:tc>
      </w:tr>
      <w:tr w:rsidR="000D7D8C" w:rsidTr="00023197">
        <w:tc>
          <w:tcPr>
            <w:tcW w:w="1980" w:type="dxa"/>
          </w:tcPr>
          <w:p w:rsidR="000D7D8C" w:rsidRDefault="00023197" w:rsidP="000D7D8C">
            <w:pPr>
              <w:jc w:val="center"/>
            </w:pPr>
            <w:r>
              <w:t>Reading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0D7D8C" w:rsidRDefault="00023197" w:rsidP="000D7D8C">
            <w:pPr>
              <w:jc w:val="center"/>
            </w:pPr>
            <w:r>
              <w:t>59%</w:t>
            </w:r>
          </w:p>
        </w:tc>
        <w:tc>
          <w:tcPr>
            <w:tcW w:w="1985" w:type="dxa"/>
          </w:tcPr>
          <w:p w:rsidR="000D7D8C" w:rsidRDefault="00023197" w:rsidP="000D7D8C">
            <w:pPr>
              <w:jc w:val="center"/>
            </w:pPr>
            <w:r>
              <w:t>76%</w:t>
            </w:r>
          </w:p>
        </w:tc>
        <w:tc>
          <w:tcPr>
            <w:tcW w:w="2541" w:type="dxa"/>
            <w:shd w:val="clear" w:color="auto" w:fill="2E74B5" w:themeFill="accent1" w:themeFillShade="BF"/>
          </w:tcPr>
          <w:p w:rsidR="000D7D8C" w:rsidRDefault="00023197" w:rsidP="000D7D8C">
            <w:pPr>
              <w:jc w:val="center"/>
            </w:pPr>
            <w:r>
              <w:t>12%</w:t>
            </w:r>
          </w:p>
        </w:tc>
        <w:tc>
          <w:tcPr>
            <w:tcW w:w="2158" w:type="dxa"/>
          </w:tcPr>
          <w:p w:rsidR="000D7D8C" w:rsidRDefault="00023197" w:rsidP="000D7D8C">
            <w:pPr>
              <w:jc w:val="center"/>
            </w:pPr>
            <w:r>
              <w:t>25%</w:t>
            </w:r>
          </w:p>
        </w:tc>
      </w:tr>
      <w:tr w:rsidR="000D7D8C" w:rsidTr="00023197">
        <w:tc>
          <w:tcPr>
            <w:tcW w:w="1980" w:type="dxa"/>
          </w:tcPr>
          <w:p w:rsidR="000D7D8C" w:rsidRDefault="00023197" w:rsidP="000D7D8C">
            <w:pPr>
              <w:jc w:val="center"/>
            </w:pPr>
            <w:r>
              <w:t>Writing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0D7D8C" w:rsidRDefault="00023197" w:rsidP="000D7D8C">
            <w:pPr>
              <w:jc w:val="center"/>
            </w:pPr>
            <w:r>
              <w:t>49%</w:t>
            </w:r>
          </w:p>
        </w:tc>
        <w:tc>
          <w:tcPr>
            <w:tcW w:w="1985" w:type="dxa"/>
          </w:tcPr>
          <w:p w:rsidR="000D7D8C" w:rsidRDefault="00023197" w:rsidP="000D7D8C">
            <w:pPr>
              <w:jc w:val="center"/>
            </w:pPr>
            <w:r>
              <w:t>70%</w:t>
            </w:r>
          </w:p>
        </w:tc>
        <w:tc>
          <w:tcPr>
            <w:tcW w:w="2541" w:type="dxa"/>
            <w:shd w:val="clear" w:color="auto" w:fill="2E74B5" w:themeFill="accent1" w:themeFillShade="BF"/>
          </w:tcPr>
          <w:p w:rsidR="000D7D8C" w:rsidRDefault="00023197" w:rsidP="000D7D8C">
            <w:pPr>
              <w:jc w:val="center"/>
            </w:pPr>
            <w:r>
              <w:t>0%</w:t>
            </w:r>
          </w:p>
        </w:tc>
        <w:tc>
          <w:tcPr>
            <w:tcW w:w="2158" w:type="dxa"/>
          </w:tcPr>
          <w:p w:rsidR="000D7D8C" w:rsidRDefault="00023197" w:rsidP="000D7D8C">
            <w:pPr>
              <w:jc w:val="center"/>
            </w:pPr>
            <w:r>
              <w:t>15%</w:t>
            </w:r>
          </w:p>
        </w:tc>
      </w:tr>
      <w:tr w:rsidR="000D7D8C" w:rsidTr="00023197">
        <w:tc>
          <w:tcPr>
            <w:tcW w:w="1980" w:type="dxa"/>
          </w:tcPr>
          <w:p w:rsidR="000D7D8C" w:rsidRDefault="00023197" w:rsidP="000D7D8C">
            <w:pPr>
              <w:jc w:val="center"/>
            </w:pPr>
            <w:r>
              <w:t>Maths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0D7D8C" w:rsidRDefault="00023197" w:rsidP="000D7D8C">
            <w:pPr>
              <w:jc w:val="center"/>
            </w:pPr>
            <w:r>
              <w:t>53%</w:t>
            </w:r>
          </w:p>
        </w:tc>
        <w:tc>
          <w:tcPr>
            <w:tcW w:w="1985" w:type="dxa"/>
          </w:tcPr>
          <w:p w:rsidR="000D7D8C" w:rsidRDefault="00023197" w:rsidP="000D7D8C">
            <w:pPr>
              <w:jc w:val="center"/>
            </w:pPr>
            <w:r>
              <w:t>77%</w:t>
            </w:r>
          </w:p>
        </w:tc>
        <w:tc>
          <w:tcPr>
            <w:tcW w:w="2541" w:type="dxa"/>
            <w:shd w:val="clear" w:color="auto" w:fill="2E74B5" w:themeFill="accent1" w:themeFillShade="BF"/>
          </w:tcPr>
          <w:p w:rsidR="000D7D8C" w:rsidRDefault="00023197" w:rsidP="000D7D8C">
            <w:pPr>
              <w:jc w:val="center"/>
            </w:pPr>
            <w:r>
              <w:t>4%</w:t>
            </w:r>
          </w:p>
        </w:tc>
        <w:tc>
          <w:tcPr>
            <w:tcW w:w="2158" w:type="dxa"/>
          </w:tcPr>
          <w:p w:rsidR="000D7D8C" w:rsidRDefault="00023197" w:rsidP="000D7D8C">
            <w:pPr>
              <w:jc w:val="center"/>
            </w:pPr>
            <w:r>
              <w:t>22%</w:t>
            </w:r>
          </w:p>
        </w:tc>
      </w:tr>
    </w:tbl>
    <w:p w:rsidR="000D7D8C" w:rsidRDefault="000D7D8C" w:rsidP="000D7D8C">
      <w:pPr>
        <w:jc w:val="center"/>
      </w:pPr>
    </w:p>
    <w:sectPr w:rsidR="000D7D8C" w:rsidSect="000D7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B"/>
    <w:rsid w:val="00023197"/>
    <w:rsid w:val="000D7D8C"/>
    <w:rsid w:val="008D0CEB"/>
    <w:rsid w:val="008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4AEF"/>
  <w15:chartTrackingRefBased/>
  <w15:docId w15:val="{F94457F2-0C8A-4D82-80D9-DFC4714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2019-10-17T10:13:00Z</dcterms:created>
  <dcterms:modified xsi:type="dcterms:W3CDTF">2019-10-17T10:38:00Z</dcterms:modified>
</cp:coreProperties>
</file>